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="240" w:lineRule="auto"/>
        <w:rPr>
          <w:rFonts w:ascii="Arial" w:cs="Arial" w:eastAsia="Arial" w:hAnsi="Arial"/>
          <w:b w:val="1"/>
          <w:color w:val="1b191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1b1918"/>
          <w:sz w:val="27"/>
          <w:szCs w:val="27"/>
          <w:rtl w:val="0"/>
        </w:rPr>
        <w:t xml:space="preserve">Условия кредитования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ООО Специализированный застройщик «Фьюжн».</w:t>
        <w:br w:type="textWrapping"/>
        <w:t xml:space="preserve">ИНН: 4345338574 / ОГРН: 1124345020832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Проектная декларация на сайте </w:t>
      </w:r>
      <w:hyperlink r:id="rId6">
        <w:r w:rsidDel="00000000" w:rsidR="00000000" w:rsidRPr="00000000">
          <w:rPr>
            <w:rFonts w:ascii="Arial" w:cs="Arial" w:eastAsia="Arial" w:hAnsi="Arial"/>
            <w:color w:val="007bff"/>
            <w:sz w:val="24"/>
            <w:szCs w:val="24"/>
            <w:u w:val="single"/>
            <w:rtl w:val="0"/>
          </w:rPr>
          <w:t xml:space="preserve">https://наш.дом.рф</w:t>
        </w:r>
      </w:hyperlink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. Не является публичной офертой.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b1918"/>
          <w:sz w:val="24"/>
          <w:szCs w:val="24"/>
          <w:rtl w:val="0"/>
        </w:rPr>
        <w:t xml:space="preserve">ПСК 5,291 %-7,746 %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b1918"/>
          <w:sz w:val="24"/>
          <w:szCs w:val="24"/>
          <w:rtl w:val="0"/>
        </w:rPr>
        <w:t xml:space="preserve">Семейная ипотека 6%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Ипотека предоставляется ПАО Сбербанк, 2023 Генеральная лицензия Банка России на осуществление банковских операций №1481 от 11.08.2015 г. ПСК 5,291 %-7,746 %. Ставка 6% предоставляется при наличии у заемщика первого или последующего ребенка, имеющего гражданство Российской Федерации, родившегося(-ихся) в период с 1 января 2018 года и не позднее 31 декабря 2023 или ребенка, имеющего гражданство Российской Федерации, рожденного не позднее 31.12.2023 г., которому присвоен статус «ребенок-инвалид» или двух и более детей, которые не достигли возраста 18 лет на дату заключения кредитного договора. Минимальный первый взнос - 20,1%, максимальный срок кредита – 30 лет.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*Пример расчета ипотеки 11 368 ₽/мес. произведен на срок 30 лет по ставке 6%, на примере квартиры в черновой отделке в ЖК "Фьюжн", площадью 25,5 м². Стоимостью 2 373 119 ₽. По программе "Семейная ипотека." Первоначальный взнос составляет 20,1 % от полной стоимости квартиры. ПСК 5,291 %-7,746 %. Ипотека предоставляется ПАО Сбербанк. Генеральная лицензия Банка России №1481.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*Пример расчета ипотеки 13 676 ₽/мес. произведен на срок 30 лет по ставке 6%, на примере квартиры с ремонтом в ЖК "Фьюжн", площадью 25,5 м². Стоимостью 2 854 880 ₽. По программе "Семейная ипотека." Первоначальный взнос составляет 20,1 % от полной стоимости квартиры. ПСК 5,291 %-7,746 %. Ипотека предоставляется ПАО Сбербанк. Генеральная лицензия Банка России №1481.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*Пример расчета ипотеки </w:t>
      </w: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16 944 ₽/мес. произведен на срок 30 лет по ставке 6%, на примере квартиры в черновой отделке в ЖК "Фьюжн", площадью 39,2 м². Стоимостью 3 537 134 ₽. По программе "Семейная ипотека." Первоначальный взнос составляет 20,1 % от полной стоимости квартиры. ПСК 5,291%-7,746 %. Ипотека предоставляется ПАО Сбербанк. Генеральная лицензия Банка России №1481.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*Пример расчет ипотеки 19 506 ₽/мес. произведен на срок 30 лет по ставке 6%, на примере квартиры в черновой отделке в ЖК "Фьюжн", площадью 48,16 м². Стоимостью 4 071 928 ₽. По программе "Семейная ипотека." Первоначальный взнос составляет 20,1 % от полной стоимости квартиры. ПСК 5,291%-7,746 %. Ипотека предоставляется ПАО Сбербанк. Генеральная лицензия Банка России №1481.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1b19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918"/>
          <w:sz w:val="24"/>
          <w:szCs w:val="24"/>
          <w:rtl w:val="0"/>
        </w:rPr>
        <w:t xml:space="preserve">**При покупке квартиры с помощью средств маткапитала в ЖК «Фьюжн», семья получит дополнительную скидку от Застройщика: - 114 792 руб. (при получении госсубсидии за 2 детей впервые); - 86 868 руб. (при получении госсубсидии за 1 ребенка впервые). Данное спецпредложение не суммируется с иными акциями застройщика. Не является публичной офертой. Подробности акции уточняйте в отделе продаж Застройщика.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xn--80az8a.xn--d1aqf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